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74" w:rsidRDefault="00EC6874" w:rsidP="00EC6874">
      <w:pPr>
        <w:pStyle w:val="Standard"/>
        <w:jc w:val="righ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8.1 </w:t>
      </w:r>
      <w:r>
        <w:rPr>
          <w:b/>
          <w:sz w:val="22"/>
          <w:szCs w:val="22"/>
        </w:rPr>
        <w:t>do SWZ/</w:t>
      </w:r>
    </w:p>
    <w:p w:rsidR="00EC6874" w:rsidRDefault="00EC6874" w:rsidP="00EC6874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umowy</w:t>
      </w:r>
    </w:p>
    <w:p w:rsidR="00413F3D" w:rsidRDefault="00413F3D">
      <w:pPr>
        <w:pStyle w:val="Standard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413F3D" w:rsidRDefault="00413F3D">
      <w:pPr>
        <w:pStyle w:val="Standard"/>
        <w:jc w:val="center"/>
        <w:rPr>
          <w:b/>
          <w:bCs/>
        </w:rPr>
      </w:pPr>
    </w:p>
    <w:p w:rsidR="00413F3D" w:rsidRDefault="00413F3D">
      <w:pPr>
        <w:pStyle w:val="Standard"/>
        <w:jc w:val="center"/>
        <w:rPr>
          <w:b/>
          <w:bCs/>
        </w:rPr>
      </w:pPr>
    </w:p>
    <w:p w:rsidR="00413F3D" w:rsidRDefault="00F24C6B">
      <w:pPr>
        <w:pStyle w:val="Standard"/>
        <w:jc w:val="center"/>
        <w:rPr>
          <w:b/>
          <w:bCs/>
        </w:rPr>
      </w:pPr>
      <w:r>
        <w:rPr>
          <w:b/>
          <w:bCs/>
        </w:rPr>
        <w:t>OPIS PRZEDMIOTU ZAMÓWIENIA – Część nr 1</w:t>
      </w:r>
    </w:p>
    <w:p w:rsidR="00413F3D" w:rsidRDefault="00413F3D">
      <w:pPr>
        <w:pStyle w:val="Standard"/>
        <w:rPr>
          <w:b/>
          <w:u w:val="single"/>
        </w:rPr>
      </w:pPr>
    </w:p>
    <w:p w:rsidR="00413F3D" w:rsidRDefault="00F24C6B">
      <w:pPr>
        <w:pStyle w:val="Standard"/>
        <w:jc w:val="both"/>
      </w:pPr>
      <w:r>
        <w:rPr>
          <w:rFonts w:eastAsia="Andale Sans UI"/>
        </w:rPr>
        <w:t>Przedmiot zamówienia obejmuje</w:t>
      </w:r>
      <w:r>
        <w:rPr>
          <w:color w:val="000000"/>
          <w:spacing w:val="-2"/>
        </w:rPr>
        <w:t xml:space="preserve"> </w:t>
      </w:r>
      <w:r>
        <w:rPr>
          <w:rFonts w:eastAsia="Andale Sans UI"/>
          <w:bCs/>
        </w:rPr>
        <w:t xml:space="preserve">dostawę do wskazanego przez Zamawiającego miejsca, fabrycznie nowych </w:t>
      </w:r>
      <w:r>
        <w:rPr>
          <w:rFonts w:eastAsia="Andale Sans UI"/>
          <w:b/>
          <w:bCs/>
        </w:rPr>
        <w:t>komputerów przenośnych</w:t>
      </w:r>
      <w:r>
        <w:rPr>
          <w:rFonts w:eastAsia="Andale Sans UI"/>
          <w:bCs/>
        </w:rPr>
        <w:t xml:space="preserve"> zgodnie z przedstawionym zestawieniem i specyfikacją.</w:t>
      </w:r>
    </w:p>
    <w:p w:rsidR="00413F3D" w:rsidRDefault="00F24C6B">
      <w:pPr>
        <w:pStyle w:val="Standard"/>
        <w:jc w:val="both"/>
      </w:pPr>
      <w:r>
        <w:rPr>
          <w:rFonts w:eastAsia="Andale Sans UI"/>
          <w:bCs/>
          <w:color w:val="000000"/>
        </w:rPr>
        <w:t xml:space="preserve">Wszystkie podane parametry opisujące przedmiot zamówienia są parametrami jakościowymi określającymi właściwości (cechy) nie gorsze niż wymagane i odnoszą się do co najmniej głównych elementów składających się na przedmiot zamówienia. </w:t>
      </w:r>
      <w:r>
        <w:rPr>
          <w:rFonts w:eastAsia="Andale Sans UI"/>
          <w:bCs/>
        </w:rPr>
        <w:t>Oznacza to, że parametry mogą być odpowiednio wyższe, jeżeli dzięki temu polepszają właściwości przedmiotu zamówienia.</w:t>
      </w:r>
    </w:p>
    <w:p w:rsidR="00413F3D" w:rsidRDefault="00413F3D">
      <w:pPr>
        <w:pStyle w:val="Standard"/>
        <w:jc w:val="both"/>
      </w:pPr>
    </w:p>
    <w:p w:rsidR="00413F3D" w:rsidRDefault="00413F3D">
      <w:pPr>
        <w:pStyle w:val="Standard"/>
      </w:pPr>
    </w:p>
    <w:tbl>
      <w:tblPr>
        <w:tblW w:w="86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6280"/>
        <w:gridCol w:w="1533"/>
      </w:tblGrid>
      <w:tr w:rsidR="00413F3D">
        <w:trPr>
          <w:trHeight w:val="584"/>
          <w:jc w:val="center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</w:t>
            </w:r>
          </w:p>
        </w:tc>
      </w:tr>
      <w:tr w:rsidR="00413F3D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przenośny typ 1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413F3D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przenośny typ 2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413F3D">
        <w:trPr>
          <w:trHeight w:val="570"/>
          <w:jc w:val="center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rPr>
                <w:b/>
                <w:bCs/>
              </w:rPr>
            </w:pPr>
            <w:r>
              <w:rPr>
                <w:b/>
                <w:bCs/>
              </w:rPr>
              <w:t>Komputer przenośny typ 3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F3D" w:rsidRDefault="00F24C6B">
            <w:pPr>
              <w:pStyle w:val="Standard"/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</w:tbl>
    <w:p w:rsidR="00413F3D" w:rsidRDefault="00413F3D">
      <w:pPr>
        <w:pStyle w:val="Standard"/>
        <w:jc w:val="center"/>
        <w:rPr>
          <w:rFonts w:eastAsia="Andale Sans UI"/>
          <w:b/>
          <w:bCs/>
          <w:u w:val="single"/>
        </w:rPr>
      </w:pPr>
    </w:p>
    <w:p w:rsidR="00413F3D" w:rsidRDefault="00413F3D">
      <w:pPr>
        <w:pStyle w:val="Standard"/>
        <w:jc w:val="both"/>
        <w:rPr>
          <w:rFonts w:eastAsia="Times New Roman" w:cs="Arial"/>
          <w:b/>
          <w:bCs/>
          <w:sz w:val="18"/>
          <w:szCs w:val="18"/>
        </w:rPr>
      </w:pPr>
    </w:p>
    <w:p w:rsidR="00413F3D" w:rsidRDefault="00F24C6B">
      <w:pPr>
        <w:pStyle w:val="Standard"/>
        <w:numPr>
          <w:ilvl w:val="0"/>
          <w:numId w:val="11"/>
        </w:numPr>
        <w:tabs>
          <w:tab w:val="left" w:pos="-720"/>
          <w:tab w:val="left" w:pos="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przenośny typ 1 – parametry minimalne:</w:t>
      </w:r>
    </w:p>
    <w:tbl>
      <w:tblPr>
        <w:tblW w:w="990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2510"/>
        <w:gridCol w:w="7394"/>
      </w:tblGrid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Wymagania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14450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 punktów, wynik zaproponowanego procesora musi znajdować się na stronie http://www.cpubenchmark.net.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Oferowany procesor musi znajdować się w bieżącej produkcji a data rozpoczęcia produkcji nie może być wcześniejsza niż pierwszy kwartał 2023 roku.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Pamięć operacyjna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32 GB RAM, DDR4 lub DDR5 i pamięć w konfiguracji dual 2x 16GB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Wyświetlacz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Przekątna co najmniej 14’’, podświetlenie LED/IPS, matryca matowa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Typ: SSD, wewnętrzny, pojemność min. 2 TB. Dopuszczalna konfiguracja 1TB+1TB.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Zintegrowana z płytą główną, z możliwością dynamicznego przydzielenia pamięci systemowej, ze sprzętowym wsparciem dla min. DirectX 10.1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Multimedia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Karta dźwiękowa zintegrowana z płytą główną, zgodna z High Definition, porty słuchawek i mikrofonu lub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combo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, wbudowane głośniki, wbudowana kamera, wbudowany mikrofon</w:t>
            </w:r>
          </w:p>
        </w:tc>
      </w:tr>
      <w:tr w:rsidR="00413F3D"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Obudowa</w:t>
            </w:r>
          </w:p>
        </w:tc>
        <w:tc>
          <w:tcPr>
            <w:tcW w:w="7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Wzmocniona konstrukcja, wykluczone obudowy w całości wykonane z plastiku i/lub z plastikowym zawiasami. </w:t>
            </w:r>
            <w:r>
              <w:rPr>
                <w:rFonts w:eastAsia="Andale Sans UI"/>
                <w:sz w:val="22"/>
                <w:szCs w:val="22"/>
              </w:rPr>
              <w:t>Zalecana zgodność ze standardem MIL-STD-810H.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Karta sieciowa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Wbudowana karta sieciowa LAN 10/100/1000 Ethernet RJ 45, wbudowana karta sieciowa WLAN 802.11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ax</w:t>
            </w:r>
            <w:proofErr w:type="spellEnd"/>
          </w:p>
        </w:tc>
      </w:tr>
      <w:tr w:rsidR="00413F3D"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Preferowany (nie wymagany) zintegrowany czytnik linii papilarnych wraz z oprogramowaniem umożliwiającym jednokrotne logowanie (SSO), polegające na autentykacji i autoryzacji na poziomie BIOS/UEFI urządzenia, bez konieczności ponownego wprowadzania poświadczeń podczas logowania się do systemu operacyjnego.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Wymagane szyfrowanie TPM 2.0, możliwość wyboru z poziomu BIOS/UEFI urządzeń rozruchowych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Zewnętrzne porty I/O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Min. 3xUSB (w tym co najmniej jeden port USB 3.0/3.1/3.2, w przypadku portu </w:t>
            </w:r>
            <w:r>
              <w:rPr>
                <w:rFonts w:eastAsia="Andale Sans UI"/>
                <w:bCs/>
                <w:sz w:val="22"/>
                <w:szCs w:val="22"/>
              </w:rPr>
              <w:lastRenderedPageBreak/>
              <w:t xml:space="preserve">USB-C dołączyć przejściówkę/adapter USB-C na USB-A), HDMI lub 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</w:p>
        </w:tc>
      </w:tr>
      <w:tr w:rsidR="00413F3D"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lastRenderedPageBreak/>
              <w:t>Akcesoria</w:t>
            </w:r>
          </w:p>
        </w:tc>
        <w:tc>
          <w:tcPr>
            <w:tcW w:w="7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Wymagana dodatkowa stacja dokująca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replikator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portów. Obsługa dwóch monitorów. Złącza min. 1x HDMI, 2x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, 3x USB 3.0, 1x USB 3.0 Typ-C, 1x RJ-45 (LAN), 1x DC-in (wejście zasilania).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Urzadzenie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musi mieć zasilanie zewnętrzne (sieciowe). Powinno posiadać również funkcje Power Delivery.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Urządzenie musi być zgodne, kompatybilne z zaoferowanym komputerem przenośnym.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Przykładowy model spełniający wymagania: Dell DOCK WD19S 180W</w:t>
            </w:r>
          </w:p>
          <w:p w:rsidR="00413F3D" w:rsidRDefault="00413F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Wymagane 2 sztuki kabla HDMI, konieczna obsługa rozdzielczości 4k.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Długość 3m.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  <w:szCs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413F3D">
        <w:trPr>
          <w:trHeight w:val="235"/>
        </w:trPr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Deklaracja zgodności CE</w:t>
            </w:r>
          </w:p>
        </w:tc>
      </w:tr>
      <w:tr w:rsidR="00413F3D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Minimum 36 miesięcy</w:t>
            </w:r>
          </w:p>
        </w:tc>
      </w:tr>
      <w:tr w:rsidR="00413F3D">
        <w:trPr>
          <w:trHeight w:val="304"/>
        </w:trPr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Przykładowy model spełniający wymagania</w:t>
            </w:r>
          </w:p>
        </w:tc>
        <w:tc>
          <w:tcPr>
            <w:tcW w:w="7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Dell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Latitude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seria 5000 + </w:t>
            </w:r>
            <w:r>
              <w:rPr>
                <w:rFonts w:eastAsia="Andale Sans UI" w:cs="Tahoma"/>
                <w:bCs/>
                <w:sz w:val="22"/>
                <w:szCs w:val="22"/>
              </w:rPr>
              <w:t>Dell DOCK WD19S 180W</w:t>
            </w:r>
          </w:p>
        </w:tc>
      </w:tr>
    </w:tbl>
    <w:p w:rsidR="00413F3D" w:rsidRDefault="00413F3D">
      <w:pPr>
        <w:pStyle w:val="Standard"/>
        <w:ind w:firstLine="709"/>
        <w:jc w:val="both"/>
      </w:pPr>
    </w:p>
    <w:p w:rsidR="00413F3D" w:rsidRDefault="00413F3D">
      <w:pPr>
        <w:pStyle w:val="Standard"/>
        <w:ind w:firstLine="709"/>
        <w:jc w:val="both"/>
      </w:pPr>
    </w:p>
    <w:p w:rsidR="00413F3D" w:rsidRDefault="00F24C6B">
      <w:pPr>
        <w:pStyle w:val="Standard"/>
        <w:numPr>
          <w:ilvl w:val="0"/>
          <w:numId w:val="12"/>
        </w:numPr>
        <w:tabs>
          <w:tab w:val="left" w:pos="-720"/>
          <w:tab w:val="left" w:pos="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przenośny typ 2 – parametry minimalne:</w:t>
      </w:r>
    </w:p>
    <w:p w:rsidR="00413F3D" w:rsidRDefault="00413F3D">
      <w:pPr>
        <w:pStyle w:val="Standard"/>
        <w:tabs>
          <w:tab w:val="left" w:pos="-720"/>
          <w:tab w:val="left" w:pos="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</w:p>
    <w:tbl>
      <w:tblPr>
        <w:tblW w:w="990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2485"/>
        <w:gridCol w:w="7419"/>
      </w:tblGrid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Wymagania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26000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 punktów, wynik zaproponowanego procesora musi znajdować się na stronie http://www.cpubenchmark.net.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Oferowany procesor musi znajdować się w bieżącej produkcji a data rozpoczęcia produkcji nie może być wcześniejsza niż pierwszy kwartał 2023 roku.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Pamięć operacyjna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64 GB RAM, DDR5 i pamięć w konfiguracji dual 2x32 GB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Wyświetlacz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Przekątna co najmniej 14’’, podświetlenie LED/IPS, matryca matowa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Typ: SSD, wewnętrzny, pojemność min. 2 TB. Dopuszczalna konfiguracja 1TB+1TB.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1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procesorem, z możliwością dynamicznego przydzielenia pamięci systemowej, ze sprzętowym wsparciem dla min. DirectX 12, Open GL 4.5, oraz</w:t>
            </w:r>
            <w:r>
              <w:rPr>
                <w:rFonts w:eastAsia="Andale Sans UI"/>
                <w:sz w:val="22"/>
                <w:szCs w:val="22"/>
              </w:rPr>
              <w:t xml:space="preserve"> dodatkowa karta graficzna osiągająca minimum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13300</w:t>
            </w:r>
            <w:r>
              <w:rPr>
                <w:rFonts w:eastAsia="Andale Sans UI"/>
                <w:sz w:val="22"/>
                <w:szCs w:val="22"/>
              </w:rPr>
              <w:t xml:space="preserve"> pkt w teście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sz w:val="22"/>
                <w:szCs w:val="22"/>
              </w:rPr>
              <w:br/>
            </w:r>
            <w:hyperlink r:id="rId8">
              <w:r>
                <w:rPr>
                  <w:rFonts w:eastAsia="Andale Sans UI"/>
                  <w:sz w:val="22"/>
                  <w:szCs w:val="22"/>
                </w:rPr>
                <w:t>https://www.videocardbenchmark.net/high_end_gpus.html</w:t>
              </w:r>
            </w:hyperlink>
            <w:r>
              <w:rPr>
                <w:rFonts w:eastAsia="Andale Sans UI"/>
                <w:sz w:val="22"/>
                <w:szCs w:val="22"/>
              </w:rPr>
              <w:t>.</w:t>
            </w:r>
            <w:r>
              <w:rPr>
                <w:rFonts w:eastAsia="Andale Sans UI"/>
                <w:sz w:val="22"/>
                <w:szCs w:val="22"/>
              </w:rPr>
              <w:br/>
              <w:t>Parametry min.:</w:t>
            </w:r>
          </w:p>
          <w:p w:rsidR="00413F3D" w:rsidRDefault="00F24C6B">
            <w:pPr>
              <w:pStyle w:val="Standard1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DirectX 12,</w:t>
            </w:r>
          </w:p>
          <w:p w:rsidR="00413F3D" w:rsidRDefault="00F24C6B">
            <w:pPr>
              <w:pStyle w:val="Standard1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Open GL 4.6,</w:t>
            </w:r>
          </w:p>
          <w:p w:rsidR="00413F3D" w:rsidRDefault="00F24C6B">
            <w:pPr>
              <w:pStyle w:val="Standard1"/>
              <w:jc w:val="both"/>
            </w:pPr>
            <w:r>
              <w:rPr>
                <w:rFonts w:eastAsia="Andale Sans UI"/>
                <w:sz w:val="22"/>
                <w:szCs w:val="22"/>
              </w:rPr>
              <w:t>Pamięć min. 6GB,</w:t>
            </w:r>
          </w:p>
          <w:p w:rsidR="00413F3D" w:rsidRDefault="00F24C6B">
            <w:pPr>
              <w:pStyle w:val="Standard1"/>
              <w:jc w:val="both"/>
            </w:pPr>
            <w:r>
              <w:rPr>
                <w:rFonts w:eastAsia="Andale Sans UI" w:cs="Tahoma"/>
              </w:rPr>
              <w:t xml:space="preserve">Minimum jedno cyfrowe złącze HDMI lub </w:t>
            </w:r>
            <w:proofErr w:type="spellStart"/>
            <w:r>
              <w:rPr>
                <w:rFonts w:eastAsia="Andale Sans UI" w:cs="Tahoma"/>
              </w:rPr>
              <w:t>DisplayPort</w:t>
            </w:r>
            <w:proofErr w:type="spellEnd"/>
            <w:r>
              <w:rPr>
                <w:rFonts w:eastAsia="Andale Sans UI" w:cs="Tahoma"/>
              </w:rPr>
              <w:t>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Multimedia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Karta dźwiękowa zintegrowana z płytą główną, zgodna z High Definition, porty słuchawek i mikrofonu lub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combo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, wbudowane głośniki, wbudowana kamera, wbudowany mikrofon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Obudowa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Wzmocniona konstrukcja, wykluczone obudowy w całości wykonane z plastiku i/lub z plastikowym zawiasami. </w:t>
            </w:r>
            <w:r>
              <w:rPr>
                <w:rFonts w:eastAsia="Andale Sans UI"/>
                <w:sz w:val="22"/>
                <w:szCs w:val="22"/>
              </w:rPr>
              <w:t>Zalecana zgodność ze standardem MIL-STD-</w:t>
            </w:r>
            <w:r>
              <w:rPr>
                <w:rFonts w:eastAsia="Andale Sans UI"/>
                <w:sz w:val="22"/>
                <w:szCs w:val="22"/>
              </w:rPr>
              <w:lastRenderedPageBreak/>
              <w:t xml:space="preserve">810H lub </w:t>
            </w:r>
            <w:r>
              <w:rPr>
                <w:rFonts w:eastAsia="Andale Sans UI"/>
                <w:bCs/>
                <w:sz w:val="22"/>
                <w:szCs w:val="22"/>
              </w:rPr>
              <w:t>obudowa aluminiowa</w:t>
            </w:r>
            <w:r>
              <w:rPr>
                <w:rFonts w:eastAsia="Andale Sans UI"/>
                <w:sz w:val="22"/>
                <w:szCs w:val="22"/>
              </w:rPr>
              <w:t>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lastRenderedPageBreak/>
              <w:t>Karta sieciowa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Wbudowana karta sieciowa LAN 10/100/1000 Ethernet RJ 45, wbudowana karta sieciowa WLAN 802.11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ax</w:t>
            </w:r>
            <w:proofErr w:type="spellEnd"/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Preferowany (nie wymagany) zintegrowany czytnik linii papilarnych wraz z oprogramowaniem umożliwiającym jednokrotne logowanie (SSO), polegające na autentykacji i autoryzacji na poziomie BIOS/UEFI urządzenia, bez konieczności ponownego wprowadzania poświadczeń podczas logowania się do systemu operacyjnego.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Wymagane szyfrowanie TPM 2.0, możliwość wyboru z poziomu BIOS/UEFI urządzeń rozruchowych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Zewnętrzne porty I/O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Min. 3xUSB (w tym co najmniej jeden port USB 3.0/3.1/3.2, w przypadku portu USB-C dołączyć przejściówkę/adapter USB-C na USB-A), HDMI lub 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Akcesoria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Wymagana dodatkowa stacja dokująca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replikator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portów. Obsługa dwóch monitorów. Złącza min. 1x HDMI, 2x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, 3x USB 3.0, 1x USB 3.0 Typ-C, 1x RJ-45 (LAN), 1x DC-in (wejście zasilania).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Urzadzenie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musi mieć zasilanie zewnętrzne (sieciowe). Powinno posiadać również funkcje Power Delivery.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Urządzenie musi być zgodne, kompatybilne z zaoferowanym komputerem przenośnym.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Przykładowy model spełniający wymagania: Dell DOCK WD19S 180W</w:t>
            </w:r>
          </w:p>
          <w:p w:rsidR="00413F3D" w:rsidRDefault="00413F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Wymagane 2 sztuki kabla HDMI, konieczna obsługa rozdzielczości 4k.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Długość 3m.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  <w:szCs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Deklaracja zgodności CE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Minimum 36 miesięcy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Przykładowy model spełniający wymagania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Dell Precision seria 3000 lub 5000 + </w:t>
            </w:r>
            <w:r>
              <w:rPr>
                <w:rFonts w:eastAsia="Andale Sans UI" w:cs="Tahoma"/>
                <w:bCs/>
                <w:sz w:val="22"/>
                <w:szCs w:val="22"/>
              </w:rPr>
              <w:t>Dell DOCK WD19S 180W</w:t>
            </w:r>
          </w:p>
        </w:tc>
      </w:tr>
    </w:tbl>
    <w:p w:rsidR="00413F3D" w:rsidRDefault="00413F3D">
      <w:pPr>
        <w:pStyle w:val="Standard"/>
        <w:ind w:firstLine="709"/>
        <w:jc w:val="both"/>
      </w:pPr>
    </w:p>
    <w:p w:rsidR="00413F3D" w:rsidRDefault="00413F3D">
      <w:pPr>
        <w:pStyle w:val="Standard"/>
        <w:ind w:firstLine="709"/>
        <w:jc w:val="both"/>
      </w:pPr>
    </w:p>
    <w:p w:rsidR="00413F3D" w:rsidRDefault="00F24C6B">
      <w:pPr>
        <w:pStyle w:val="Standard"/>
        <w:numPr>
          <w:ilvl w:val="0"/>
          <w:numId w:val="13"/>
        </w:numPr>
        <w:tabs>
          <w:tab w:val="left" w:pos="-720"/>
          <w:tab w:val="left" w:pos="0"/>
        </w:tabs>
        <w:suppressAutoHyphens w:val="0"/>
        <w:snapToGrid w:val="0"/>
        <w:spacing w:line="312" w:lineRule="auto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Komputer przenośny typ 3 – parametry minimalne:</w:t>
      </w:r>
    </w:p>
    <w:tbl>
      <w:tblPr>
        <w:tblW w:w="990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2485"/>
        <w:gridCol w:w="7419"/>
      </w:tblGrid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center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Wymagania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Procesor: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Zaoferowany procesor musi uzyskiwać w teście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CPU Mark wynik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42500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 punktów, wynik zaproponowanego procesora musi znajdować się na stronie http://www.cpubenchmark.net.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Oferowany procesor musi znajdować się w bieżącej produkcji a data rozpoczęcia produkcji nie może być wcześniejsza niż pierwszy kwartał 2023 roku.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Pamięć operacyjna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64 GB RAM, DDR5, dopuszczalna pamięć w konfiguracji dual 2x32 GB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Wyświetlacz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Przekątna co najmniej 16’’, podświetlenie LED/IPS, matryca matowa, FHD+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Dysk twardy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Typ: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Samoszyfrujący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dysk SSD, wewnętrzny, pojemność min. 1 TB.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Rodzaj pamięci: SLC lub MLC lub TLC. Niedopuszczalne są dyski oparte o pamięci QLC.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Karta graficzna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1"/>
              <w:jc w:val="both"/>
            </w:pPr>
            <w:r>
              <w:rPr>
                <w:rFonts w:eastAsia="Andale Sans UI" w:cs="Tahoma"/>
                <w:bCs/>
                <w:sz w:val="22"/>
                <w:szCs w:val="22"/>
              </w:rPr>
              <w:t>Zintegrowana z procesorem, z możliwością dynamicznego przydzielenia pamięci systemowej, ze sprzętowym wsparciem dla min. DirectX 12, Open GL 4.5, oraz</w:t>
            </w:r>
            <w:r>
              <w:rPr>
                <w:rFonts w:eastAsia="Andale Sans UI"/>
                <w:sz w:val="22"/>
                <w:szCs w:val="22"/>
              </w:rPr>
              <w:t xml:space="preserve"> dodatkowa karta graficzna osiągająca minimum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10500</w:t>
            </w:r>
            <w:r>
              <w:rPr>
                <w:rFonts w:eastAsia="Andale Sans UI"/>
                <w:sz w:val="22"/>
                <w:szCs w:val="22"/>
              </w:rPr>
              <w:t xml:space="preserve"> pkt w teście </w:t>
            </w:r>
            <w:proofErr w:type="spellStart"/>
            <w:r>
              <w:rPr>
                <w:rFonts w:eastAsia="Andale Sans UI"/>
                <w:sz w:val="22"/>
                <w:szCs w:val="22"/>
              </w:rPr>
              <w:t>PassMark</w:t>
            </w:r>
            <w:proofErr w:type="spellEnd"/>
            <w:r>
              <w:rPr>
                <w:rFonts w:eastAsia="Andale Sans UI"/>
                <w:sz w:val="22"/>
                <w:szCs w:val="22"/>
              </w:rPr>
              <w:br/>
            </w:r>
            <w:hyperlink r:id="rId9">
              <w:r>
                <w:rPr>
                  <w:rFonts w:eastAsia="Andale Sans UI"/>
                  <w:sz w:val="22"/>
                  <w:szCs w:val="22"/>
                </w:rPr>
                <w:t>https://www.videocardbenchmark.net/high_end_gpus.html</w:t>
              </w:r>
            </w:hyperlink>
            <w:r>
              <w:rPr>
                <w:rFonts w:eastAsia="Andale Sans UI"/>
                <w:sz w:val="22"/>
                <w:szCs w:val="22"/>
              </w:rPr>
              <w:t>.</w:t>
            </w:r>
            <w:r>
              <w:rPr>
                <w:rFonts w:eastAsia="Andale Sans UI"/>
                <w:sz w:val="22"/>
                <w:szCs w:val="22"/>
              </w:rPr>
              <w:br/>
              <w:t>Parametry min.:</w:t>
            </w:r>
          </w:p>
          <w:p w:rsidR="00413F3D" w:rsidRDefault="00F24C6B">
            <w:pPr>
              <w:pStyle w:val="Standard1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lastRenderedPageBreak/>
              <w:t>DirectX 12,</w:t>
            </w:r>
          </w:p>
          <w:p w:rsidR="00413F3D" w:rsidRDefault="00F24C6B">
            <w:pPr>
              <w:pStyle w:val="Standard1"/>
              <w:jc w:val="both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>Open GL 4.6,</w:t>
            </w:r>
          </w:p>
          <w:p w:rsidR="00413F3D" w:rsidRDefault="00F24C6B">
            <w:pPr>
              <w:pStyle w:val="Standard1"/>
              <w:jc w:val="both"/>
            </w:pPr>
            <w:r>
              <w:rPr>
                <w:rFonts w:eastAsia="Andale Sans UI"/>
                <w:sz w:val="22"/>
                <w:szCs w:val="22"/>
              </w:rPr>
              <w:t>Pamięć min. 8GB,</w:t>
            </w:r>
          </w:p>
          <w:p w:rsidR="00413F3D" w:rsidRDefault="00F24C6B">
            <w:pPr>
              <w:pStyle w:val="Standard1"/>
              <w:jc w:val="both"/>
            </w:pPr>
            <w:r>
              <w:rPr>
                <w:rFonts w:eastAsia="Andale Sans UI" w:cs="Tahoma"/>
              </w:rPr>
              <w:t xml:space="preserve">Minimum jedno cyfrowe złącze HDMI lub </w:t>
            </w:r>
            <w:proofErr w:type="spellStart"/>
            <w:r>
              <w:rPr>
                <w:rFonts w:eastAsia="Andale Sans UI" w:cs="Tahoma"/>
              </w:rPr>
              <w:t>DisplayPort</w:t>
            </w:r>
            <w:proofErr w:type="spellEnd"/>
            <w:r>
              <w:rPr>
                <w:rFonts w:eastAsia="Andale Sans UI" w:cs="Tahoma"/>
              </w:rPr>
              <w:t>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lastRenderedPageBreak/>
              <w:t>Mul</w:t>
            </w:r>
            <w:bookmarkStart w:id="1" w:name="_GoBack_kopia_1"/>
            <w:bookmarkEnd w:id="1"/>
            <w:r>
              <w:rPr>
                <w:rFonts w:eastAsia="Andale Sans UI"/>
                <w:b/>
                <w:bCs/>
                <w:sz w:val="22"/>
                <w:szCs w:val="22"/>
              </w:rPr>
              <w:t>timedia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Karta dźwiękowa zintegrowana z płytą główną, zgodna z High Definition, porty słuchawek i mikrofonu lub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combo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, wbudowane głośniki, wbudowana kamera, wbudowany mikrofon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Obudowa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Wzmocniona konstrukcja, wykluczone obudowy w całości wykonane z plastiku i/lub z plastikowym zawiasami. </w:t>
            </w:r>
            <w:r>
              <w:rPr>
                <w:rFonts w:eastAsia="Andale Sans UI"/>
                <w:sz w:val="22"/>
                <w:szCs w:val="22"/>
              </w:rPr>
              <w:t xml:space="preserve">Zalecana zgodność ze standardem MIL-STD-810H lub </w:t>
            </w:r>
            <w:r>
              <w:rPr>
                <w:rFonts w:eastAsia="Andale Sans UI"/>
                <w:bCs/>
                <w:sz w:val="22"/>
                <w:szCs w:val="22"/>
              </w:rPr>
              <w:t>obudowa aluminiowa</w:t>
            </w:r>
            <w:r>
              <w:rPr>
                <w:rFonts w:eastAsia="Andale Sans UI"/>
                <w:sz w:val="22"/>
                <w:szCs w:val="22"/>
              </w:rPr>
              <w:t>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Karta sieciowa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 xml:space="preserve">Wbudowana karta sieciowa LAN 10/100/1000 Ethernet RJ 45, wbudowana karta sieciowa WLAN 802.11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ax</w:t>
            </w:r>
            <w:proofErr w:type="spellEnd"/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Wymagany czytnik linii papilarnych FIPS z pełnym skanowaniem wraz z oprogramowaniem umożliwiającym jednokrotne logowanie (SSO), polegające na autentykacji i autoryzacji na poziomie BIOS/UEFI urządzenia, bez konieczności ponownego wprowadzania poświadczeń podczas logowania się do systemu operacyjnego.</w:t>
            </w:r>
          </w:p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Wymagane szyfrowanie TPM 2.0, możliwość wyboru z poziomu BIOS/UEFI urządzeń rozruchowych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Zewnętrzne porty I/O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Min. 3xUSB (w tym co najmniej jeden port USB 3.0/3.1/3.2, w przypadku portu USB-C dołączyć przejściówkę/adapter USB-C na USB-A), HDMI lub 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Akcesoria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 xml:space="preserve">Wymagana dodatkowa stacja dokująca lub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replikator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portów. Obsługa dwóch monitorów. Złącza min. 1x HDMI, 2x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DisplayPort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, 3x USB 3.0, 1x USB 3.0 Typ-C, 1x RJ-45 (LAN), 1x DC-in (wejście zasilania). </w:t>
            </w:r>
            <w:proofErr w:type="spellStart"/>
            <w:r>
              <w:rPr>
                <w:rFonts w:eastAsia="Andale Sans UI" w:cs="Tahoma"/>
                <w:bCs/>
                <w:sz w:val="22"/>
                <w:szCs w:val="22"/>
              </w:rPr>
              <w:t>Urzadzenie</w:t>
            </w:r>
            <w:proofErr w:type="spellEnd"/>
            <w:r>
              <w:rPr>
                <w:rFonts w:eastAsia="Andale Sans UI" w:cs="Tahoma"/>
                <w:bCs/>
                <w:sz w:val="22"/>
                <w:szCs w:val="22"/>
              </w:rPr>
              <w:t xml:space="preserve"> musi mieć zasilanie zewnętrzne (sieciowe). Powinno posiadać również funkcje Power Delivery.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Urządzenie musi być zgodne, kompatybilne z zaoferowanym komputerem przenośnym.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Przykładowy model spełniający wymagania: Dell DOCK WD19S 180W</w:t>
            </w:r>
          </w:p>
          <w:p w:rsidR="00413F3D" w:rsidRDefault="00413F3D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Wymagane 2 sztuki kabla HDMI, konieczna obsługa rozdzielczości 4k.</w:t>
            </w:r>
          </w:p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Długość 3m.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System</w:t>
            </w: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ndale Sans UI"/>
                <w:b/>
                <w:bCs/>
                <w:sz w:val="22"/>
                <w:szCs w:val="22"/>
              </w:rPr>
              <w:t>operacyjny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System operacyjny 64-bitowy w języku polskim.</w:t>
            </w:r>
          </w:p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Pakiet komercyjny, przeznaczony dla klientów indywidualnych, Microsoft Windows 10/11 Professional lub równoważny zgodny z posiadanymi przez Zamawiającego pakietami biurowymi MS Office 2016/2019/2021, oprogramowaniem antywirusowym Checkpoint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Endpoint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Security, AVG 2019. Pełna współpraca z MS Active Directory. System powinien zawierać certyfikat autentyczności lub unikalny kod aktywacyjny. </w:t>
            </w:r>
            <w:r>
              <w:rPr>
                <w:rFonts w:eastAsia="Andale Sans UI" w:cs="Arial"/>
                <w:bCs/>
                <w:sz w:val="22"/>
                <w:szCs w:val="22"/>
              </w:rPr>
              <w:t xml:space="preserve">System musi być nowy, nieużywany i nigdy wcześniej nie aktywowany. </w:t>
            </w:r>
            <w:r>
              <w:rPr>
                <w:rFonts w:eastAsia="Andale Sans UI"/>
                <w:bCs/>
                <w:sz w:val="22"/>
                <w:szCs w:val="22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malware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 xml:space="preserve"> oraz </w:t>
            </w:r>
            <w:proofErr w:type="spellStart"/>
            <w:r>
              <w:rPr>
                <w:rFonts w:eastAsia="Andale Sans UI"/>
                <w:bCs/>
                <w:sz w:val="22"/>
                <w:szCs w:val="22"/>
              </w:rPr>
              <w:t>adware</w:t>
            </w:r>
            <w:proofErr w:type="spellEnd"/>
            <w:r>
              <w:rPr>
                <w:rFonts w:eastAsia="Andale Sans UI"/>
                <w:bCs/>
                <w:sz w:val="22"/>
                <w:szCs w:val="22"/>
              </w:rPr>
              <w:t>. System operacyjny zainstalowany na dysku, aktywowany, w najnowszej dostępnej wersji.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Windows 11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 w:cs="Tahoma"/>
                <w:bCs/>
                <w:sz w:val="22"/>
                <w:szCs w:val="22"/>
              </w:rPr>
            </w:pPr>
            <w:r>
              <w:rPr>
                <w:rFonts w:eastAsia="Andale Sans UI" w:cs="Tahoma"/>
                <w:bCs/>
                <w:sz w:val="22"/>
                <w:szCs w:val="22"/>
              </w:rPr>
              <w:t>Pełna zgodność z Windows 11 na poziomie sprzętowym.</w:t>
            </w:r>
          </w:p>
        </w:tc>
      </w:tr>
      <w:tr w:rsidR="00413F3D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Deklaracja zgodności CE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  <w:rPr>
                <w:rFonts w:eastAsia="Andale Sans UI"/>
                <w:bCs/>
                <w:sz w:val="22"/>
                <w:szCs w:val="22"/>
              </w:rPr>
            </w:pPr>
            <w:r>
              <w:rPr>
                <w:rFonts w:eastAsia="Andale Sans UI"/>
                <w:bCs/>
                <w:sz w:val="22"/>
                <w:szCs w:val="22"/>
              </w:rPr>
              <w:t>Minimum 36 miesięcy</w:t>
            </w:r>
          </w:p>
        </w:tc>
      </w:tr>
      <w:tr w:rsidR="00413F3D">
        <w:tc>
          <w:tcPr>
            <w:tcW w:w="2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rPr>
                <w:rFonts w:eastAsia="Andale Sans UI"/>
                <w:b/>
                <w:bCs/>
                <w:sz w:val="22"/>
                <w:szCs w:val="22"/>
              </w:rPr>
            </w:pPr>
            <w:r>
              <w:rPr>
                <w:rFonts w:eastAsia="Andale Sans UI"/>
                <w:b/>
                <w:bCs/>
                <w:sz w:val="22"/>
                <w:szCs w:val="22"/>
              </w:rPr>
              <w:t>Przykładowy model spełniający wymagania</w:t>
            </w:r>
          </w:p>
        </w:tc>
        <w:tc>
          <w:tcPr>
            <w:tcW w:w="7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F3D" w:rsidRDefault="00F24C6B">
            <w:pPr>
              <w:pStyle w:val="Standard"/>
              <w:jc w:val="both"/>
            </w:pPr>
            <w:r>
              <w:rPr>
                <w:rFonts w:eastAsia="Andale Sans UI"/>
                <w:bCs/>
                <w:sz w:val="22"/>
                <w:szCs w:val="22"/>
              </w:rPr>
              <w:t xml:space="preserve">Dell Precision 7680 + </w:t>
            </w:r>
            <w:r>
              <w:rPr>
                <w:rFonts w:eastAsia="Andale Sans UI" w:cs="Tahoma"/>
                <w:bCs/>
                <w:sz w:val="22"/>
                <w:szCs w:val="22"/>
              </w:rPr>
              <w:t>Dell DOCK WD19S 180W</w:t>
            </w:r>
          </w:p>
        </w:tc>
      </w:tr>
    </w:tbl>
    <w:p w:rsidR="00413F3D" w:rsidRDefault="00413F3D">
      <w:pPr>
        <w:pStyle w:val="Standard"/>
        <w:ind w:firstLine="709"/>
        <w:jc w:val="both"/>
      </w:pPr>
    </w:p>
    <w:p w:rsidR="00413F3D" w:rsidRDefault="00413F3D">
      <w:pPr>
        <w:pStyle w:val="Standard"/>
        <w:ind w:firstLine="709"/>
        <w:jc w:val="both"/>
      </w:pPr>
    </w:p>
    <w:p w:rsidR="00413F3D" w:rsidRDefault="00F24C6B">
      <w:pPr>
        <w:pStyle w:val="Standard"/>
        <w:tabs>
          <w:tab w:val="left" w:pos="567"/>
        </w:tabs>
        <w:spacing w:line="312" w:lineRule="auto"/>
        <w:jc w:val="both"/>
        <w:rPr>
          <w:rFonts w:eastAsia="Andale Sans UI"/>
          <w:b/>
          <w:bCs/>
        </w:rPr>
      </w:pPr>
      <w:r>
        <w:rPr>
          <w:rFonts w:eastAsia="Andale Sans UI"/>
          <w:b/>
          <w:bCs/>
        </w:rPr>
        <w:t>Pozostałe wymagania dotyczące przedmiotu zamówienia:</w:t>
      </w:r>
    </w:p>
    <w:p w:rsidR="00413F3D" w:rsidRDefault="00F24C6B">
      <w:pPr>
        <w:pStyle w:val="Standard"/>
        <w:numPr>
          <w:ilvl w:val="0"/>
          <w:numId w:val="14"/>
        </w:numPr>
        <w:tabs>
          <w:tab w:val="left" w:pos="-1069"/>
          <w:tab w:val="left" w:pos="-349"/>
        </w:tabs>
        <w:spacing w:line="312" w:lineRule="auto"/>
        <w:jc w:val="both"/>
      </w:pPr>
      <w:r>
        <w:t>Dostarczony sprzęt będący przedmiotem umowy musi być fabrycznie nowy (nieużywany).</w:t>
      </w:r>
    </w:p>
    <w:p w:rsidR="00413F3D" w:rsidRDefault="00F24C6B">
      <w:pPr>
        <w:pStyle w:val="Standard"/>
        <w:numPr>
          <w:ilvl w:val="0"/>
          <w:numId w:val="15"/>
        </w:numPr>
        <w:tabs>
          <w:tab w:val="left" w:pos="-1069"/>
          <w:tab w:val="left" w:pos="-349"/>
        </w:tabs>
        <w:spacing w:line="312" w:lineRule="auto"/>
        <w:jc w:val="both"/>
      </w:pPr>
      <w:r>
        <w:t>Dostarczony sprzęt będący przedmiotem umowy musi posiadać wszystkie niezbędne kable, zasilacze oraz inne akcesoria niezbędne do jego prawidłowej pracy.</w:t>
      </w:r>
    </w:p>
    <w:p w:rsidR="00413F3D" w:rsidRDefault="00F24C6B">
      <w:pPr>
        <w:pStyle w:val="Standard"/>
        <w:numPr>
          <w:ilvl w:val="0"/>
          <w:numId w:val="16"/>
        </w:numPr>
        <w:tabs>
          <w:tab w:val="left" w:pos="-1069"/>
          <w:tab w:val="left" w:pos="-349"/>
        </w:tabs>
        <w:spacing w:line="312" w:lineRule="auto"/>
        <w:jc w:val="both"/>
      </w:pPr>
      <w:r>
        <w:t>Komputer przenośny może być w kolorach: czarny, srebrny, odcienie szarości.</w:t>
      </w:r>
    </w:p>
    <w:p w:rsidR="00413F3D" w:rsidRDefault="00F24C6B">
      <w:pPr>
        <w:pStyle w:val="Standard"/>
        <w:numPr>
          <w:ilvl w:val="0"/>
          <w:numId w:val="17"/>
        </w:numPr>
        <w:tabs>
          <w:tab w:val="left" w:pos="-1069"/>
          <w:tab w:val="left" w:pos="-349"/>
        </w:tabs>
        <w:spacing w:line="312" w:lineRule="auto"/>
        <w:jc w:val="both"/>
      </w:pPr>
      <w:r>
        <w:t>Dostarczony sprzęt musi posiadać oznakowanie CE.</w:t>
      </w:r>
    </w:p>
    <w:p w:rsidR="00413F3D" w:rsidRDefault="00F24C6B">
      <w:pPr>
        <w:pStyle w:val="Standard"/>
        <w:numPr>
          <w:ilvl w:val="0"/>
          <w:numId w:val="18"/>
        </w:numPr>
        <w:tabs>
          <w:tab w:val="left" w:pos="-1069"/>
          <w:tab w:val="left" w:pos="-349"/>
        </w:tabs>
        <w:spacing w:line="312" w:lineRule="auto"/>
        <w:jc w:val="both"/>
      </w:pPr>
      <w:r>
        <w:lastRenderedPageBreak/>
        <w:t>W przypadku pojawienia się wątpliwości co do pochodzenia oferowanego sprzętu, jego właściwości, parametrów technicznych, oznaczeń czy też funkcjonalności, Zamawiający zastrzega sobie prawo do wezwania Wykonawców do składania wyjaśnień, w tym do przedstawiania dokumentów uwiarygadniających powyższe, a także prawo do żądania próbek testowych tego sprzętu.</w:t>
      </w:r>
    </w:p>
    <w:p w:rsidR="00413F3D" w:rsidRDefault="00F24C6B">
      <w:pPr>
        <w:pStyle w:val="Standard"/>
        <w:numPr>
          <w:ilvl w:val="0"/>
          <w:numId w:val="19"/>
        </w:numPr>
        <w:tabs>
          <w:tab w:val="left" w:pos="-1069"/>
          <w:tab w:val="left" w:pos="-349"/>
        </w:tabs>
        <w:spacing w:line="312" w:lineRule="auto"/>
        <w:jc w:val="both"/>
      </w:pPr>
      <w:r>
        <w:t>Niedozwolone jest oferowanie sprzętu polegające na działaniu de-</w:t>
      </w:r>
      <w:proofErr w:type="spellStart"/>
      <w:r>
        <w:t>brandingu</w:t>
      </w:r>
      <w:proofErr w:type="spellEnd"/>
      <w:r>
        <w:t>, ponieważ działanie to stanowi czyn nieuczciwej konkurencji. Oferty w których sprzęt został poddany działaniu usunięcia, zastąpienia lub w jakikolwiek inny sposób przerobienia oznaczeń mających na celu ukrycie lub wprowadzenie w błąd co do pochodzenia, jakości, czy właściwości sprzętu będą odrzucane.</w:t>
      </w:r>
    </w:p>
    <w:p w:rsidR="00413F3D" w:rsidRDefault="00413F3D">
      <w:pPr>
        <w:pStyle w:val="Standard"/>
        <w:ind w:left="709"/>
        <w:jc w:val="both"/>
        <w:rPr>
          <w:sz w:val="22"/>
          <w:szCs w:val="22"/>
        </w:rPr>
      </w:pPr>
    </w:p>
    <w:p w:rsidR="00413F3D" w:rsidRDefault="00413F3D">
      <w:pPr>
        <w:pStyle w:val="Standard"/>
        <w:ind w:left="709"/>
        <w:jc w:val="both"/>
        <w:rPr>
          <w:sz w:val="22"/>
          <w:szCs w:val="22"/>
        </w:rPr>
      </w:pPr>
    </w:p>
    <w:p w:rsidR="00413F3D" w:rsidRDefault="00413F3D">
      <w:pPr>
        <w:pStyle w:val="Standard"/>
        <w:jc w:val="both"/>
        <w:rPr>
          <w:sz w:val="22"/>
          <w:szCs w:val="22"/>
        </w:rPr>
      </w:pPr>
    </w:p>
    <w:sectPr w:rsidR="00413F3D" w:rsidSect="00DA3EA2">
      <w:footerReference w:type="default" r:id="rId10"/>
      <w:footerReference w:type="first" r:id="rId11"/>
      <w:pgSz w:w="11906" w:h="16838"/>
      <w:pgMar w:top="426" w:right="1134" w:bottom="709" w:left="1134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0DD" w:rsidRDefault="00F24C6B">
      <w:r>
        <w:separator/>
      </w:r>
    </w:p>
  </w:endnote>
  <w:endnote w:type="continuationSeparator" w:id="0">
    <w:p w:rsidR="00FA20DD" w:rsidRDefault="00F2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9D8" w:rsidRDefault="001E29D8">
    <w:pPr>
      <w:pStyle w:val="Stopka"/>
    </w:pPr>
  </w:p>
  <w:p w:rsidR="00413F3D" w:rsidRDefault="00413F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3F3D" w:rsidRDefault="00F24C6B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8255" distB="8255" distL="8255" distR="8255" simplePos="0" relativeHeight="251658240" behindDoc="1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582295</wp:posOffset>
              </wp:positionV>
              <wp:extent cx="7308850" cy="10276840"/>
              <wp:effectExtent l="8255" t="8255" r="8255" b="8255"/>
              <wp:wrapNone/>
              <wp:docPr id="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8720" cy="1027692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rgbClr val="76717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8431CE4" id="Prostokąt 452" o:spid="_x0000_s1026" style="position:absolute;margin-left:0;margin-top:45.85pt;width:575.5pt;height:809.2pt;z-index:-251658240;visibility:visible;mso-wrap-style:square;mso-width-percent:950;mso-height-percent:950;mso-wrap-distance-left:.65pt;mso-wrap-distance-top:.65pt;mso-wrap-distance-right:.65pt;mso-wrap-distance-bottom:.65pt;mso-position-horizontal:center;mso-position-horizontal-relative:page;mso-position-vertical:absolute;mso-position-vertical-relative:page;mso-width-percent:950;mso-height-percent:9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" o:allowincell="f" filled="f" strokecolor="#767171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t xml:space="preserve">str. </w:t>
    </w:r>
    <w:r>
      <w:rPr>
        <w:rFonts w:ascii="Calibri Light" w:hAnsi="Calibri Light"/>
        <w:color w:val="5B9BD5" w:themeColor="accent1"/>
        <w:sz w:val="20"/>
        <w:szCs w:val="20"/>
      </w:rPr>
      <w:fldChar w:fldCharType="begin"/>
    </w:r>
    <w:r>
      <w:rPr>
        <w:rFonts w:ascii="Calibri Light" w:hAnsi="Calibri Light"/>
        <w:color w:val="5B9BD5" w:themeColor="accent1"/>
        <w:sz w:val="20"/>
        <w:szCs w:val="20"/>
      </w:rPr>
      <w:instrText xml:space="preserve"> PAGE </w:instrText>
    </w:r>
    <w:r>
      <w:rPr>
        <w:rFonts w:ascii="Calibri Light" w:hAnsi="Calibri Light"/>
        <w:color w:val="5B9BD5" w:themeColor="accent1"/>
        <w:sz w:val="20"/>
        <w:szCs w:val="20"/>
      </w:rPr>
      <w:fldChar w:fldCharType="separate"/>
    </w:r>
    <w:r>
      <w:rPr>
        <w:rFonts w:ascii="Calibri Light" w:hAnsi="Calibri Light"/>
        <w:color w:val="5B9BD5" w:themeColor="accent1"/>
        <w:sz w:val="20"/>
        <w:szCs w:val="20"/>
      </w:rPr>
      <w:t>5</w:t>
    </w:r>
    <w:r>
      <w:rPr>
        <w:rFonts w:ascii="Calibri Light" w:hAnsi="Calibri Light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0DD" w:rsidRDefault="00F24C6B">
      <w:r>
        <w:separator/>
      </w:r>
    </w:p>
  </w:footnote>
  <w:footnote w:type="continuationSeparator" w:id="0">
    <w:p w:rsidR="00FA20DD" w:rsidRDefault="00F24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46ED"/>
    <w:multiLevelType w:val="multilevel"/>
    <w:tmpl w:val="8002673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FBB34FE"/>
    <w:multiLevelType w:val="multilevel"/>
    <w:tmpl w:val="7CF425A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9BA2E42"/>
    <w:multiLevelType w:val="multilevel"/>
    <w:tmpl w:val="A8A2FF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F2033E3"/>
    <w:multiLevelType w:val="multilevel"/>
    <w:tmpl w:val="AABED13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21EB5E30"/>
    <w:multiLevelType w:val="multilevel"/>
    <w:tmpl w:val="3AA682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3BE332B3"/>
    <w:multiLevelType w:val="multilevel"/>
    <w:tmpl w:val="761ED79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3F7660AA"/>
    <w:multiLevelType w:val="multilevel"/>
    <w:tmpl w:val="624A3E4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44180337"/>
    <w:multiLevelType w:val="multilevel"/>
    <w:tmpl w:val="102CE6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5E7C1388"/>
    <w:multiLevelType w:val="multilevel"/>
    <w:tmpl w:val="D380867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67353B02"/>
    <w:multiLevelType w:val="multilevel"/>
    <w:tmpl w:val="00DA1D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2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F3D"/>
    <w:rsid w:val="001E29D8"/>
    <w:rsid w:val="00413F3D"/>
    <w:rsid w:val="00DA3EA2"/>
    <w:rsid w:val="00EC6874"/>
    <w:rsid w:val="00F24C6B"/>
    <w:rsid w:val="00FA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65576-6458-4DDD-A027-8EBFFA41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Textbody"/>
    <w:qFormat/>
    <w:pPr>
      <w:widowControl/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Symbol" w:eastAsia="Symbol" w:hAnsi="Symbol" w:cs="Symbol"/>
      <w:sz w:val="20"/>
    </w:rPr>
  </w:style>
  <w:style w:type="character" w:customStyle="1" w:styleId="WW8Num4z1">
    <w:name w:val="WW8Num4z1"/>
    <w:qFormat/>
    <w:rPr>
      <w:rFonts w:ascii="Courier New" w:eastAsia="Courier New" w:hAnsi="Courier New" w:cs="Courier New"/>
      <w:sz w:val="20"/>
    </w:rPr>
  </w:style>
  <w:style w:type="character" w:customStyle="1" w:styleId="WW8Num4z2">
    <w:name w:val="WW8Num4z2"/>
    <w:qFormat/>
    <w:rPr>
      <w:rFonts w:ascii="Wingdings" w:eastAsia="Wingdings" w:hAnsi="Wingdings" w:cs="Wingdings"/>
      <w:sz w:val="20"/>
    </w:rPr>
  </w:style>
  <w:style w:type="character" w:customStyle="1" w:styleId="WW8Num5z0">
    <w:name w:val="WW8Num5z0"/>
    <w:qFormat/>
    <w:rPr>
      <w:rFonts w:ascii="Symbol" w:eastAsia="Symbol" w:hAnsi="Symbol" w:cs="Symbol"/>
      <w:sz w:val="20"/>
    </w:rPr>
  </w:style>
  <w:style w:type="character" w:customStyle="1" w:styleId="WW8Num5z1">
    <w:name w:val="WW8Num5z1"/>
    <w:qFormat/>
    <w:rPr>
      <w:rFonts w:ascii="Courier New" w:eastAsia="Courier New" w:hAnsi="Courier New" w:cs="Courier New"/>
      <w:sz w:val="20"/>
    </w:rPr>
  </w:style>
  <w:style w:type="character" w:customStyle="1" w:styleId="WW8Num5z2">
    <w:name w:val="WW8Num5z2"/>
    <w:qFormat/>
    <w:rPr>
      <w:rFonts w:ascii="Wingdings" w:eastAsia="Wingdings" w:hAnsi="Wingdings" w:cs="Wingdings"/>
      <w:sz w:val="20"/>
    </w:rPr>
  </w:style>
  <w:style w:type="character" w:customStyle="1" w:styleId="Domylnaczcionkaakapitu3">
    <w:name w:val="Domyślna czcionka akapitu3"/>
    <w:qFormat/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  <w:sz w:val="22"/>
      <w:szCs w:val="22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1z0">
    <w:name w:val="WW8Num11z0"/>
    <w:qFormat/>
    <w:rPr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eastAsia="Symbol" w:hAnsi="Symbol" w:cs="Symbol"/>
    </w:rPr>
  </w:style>
  <w:style w:type="character" w:customStyle="1" w:styleId="WW8Num12z1">
    <w:name w:val="WW8Num12z1"/>
    <w:qFormat/>
    <w:rPr>
      <w:rFonts w:ascii="Courier New" w:eastAsia="Courier New" w:hAnsi="Courier New" w:cs="Courier New"/>
    </w:rPr>
  </w:style>
  <w:style w:type="character" w:customStyle="1" w:styleId="WW8Num12z2">
    <w:name w:val="WW8Num12z2"/>
    <w:qFormat/>
    <w:rPr>
      <w:rFonts w:ascii="Wingdings" w:eastAsia="Wingdings" w:hAnsi="Wingdings" w:cs="Wingdings"/>
    </w:rPr>
  </w:style>
  <w:style w:type="character" w:customStyle="1" w:styleId="WW8Num13z0">
    <w:name w:val="WW8Num13z0"/>
    <w:qFormat/>
    <w:rPr>
      <w:rFonts w:ascii="Symbol" w:eastAsia="Symbol" w:hAnsi="Symbol" w:cs="Symbol"/>
    </w:rPr>
  </w:style>
  <w:style w:type="character" w:customStyle="1" w:styleId="WW8Num13z1">
    <w:name w:val="WW8Num13z1"/>
    <w:qFormat/>
    <w:rPr>
      <w:rFonts w:ascii="Courier New" w:eastAsia="Courier New" w:hAnsi="Courier New" w:cs="Courier New"/>
    </w:rPr>
  </w:style>
  <w:style w:type="character" w:customStyle="1" w:styleId="WW8Num13z2">
    <w:name w:val="WW8Num13z2"/>
    <w:qFormat/>
    <w:rPr>
      <w:rFonts w:ascii="Wingdings" w:eastAsia="Wingdings" w:hAnsi="Wingdings" w:cs="Wingdings"/>
    </w:rPr>
  </w:style>
  <w:style w:type="character" w:customStyle="1" w:styleId="Domylnaczcionkaakapitu2">
    <w:name w:val="Domyślna czcionka akapitu2"/>
    <w:qFormat/>
  </w:style>
  <w:style w:type="character" w:customStyle="1" w:styleId="Znakiwypunktowaniauser">
    <w:name w:val="Znaki wypunktowania (user)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Znakinumeracjiuser">
    <w:name w:val="Znaki numeracji (user)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azwaprodfirma">
    <w:name w:val="nazwa_prod_firma"/>
    <w:basedOn w:val="Domylnaczcionkaakapitu2"/>
    <w:qFormat/>
  </w:style>
  <w:style w:type="character" w:customStyle="1" w:styleId="Domylnaczcionkaakapitu1">
    <w:name w:val="Domyślna czcionka 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qnmdr">
    <w:name w:val="_qnmdr"/>
    <w:basedOn w:val="Domylnaczcionkaakapitu3"/>
    <w:qFormat/>
  </w:style>
  <w:style w:type="character" w:customStyle="1" w:styleId="pogrubienie">
    <w:name w:val="pogrubienie"/>
    <w:basedOn w:val="Domylnaczcionkaakapitu3"/>
    <w:qFormat/>
  </w:style>
  <w:style w:type="character" w:customStyle="1" w:styleId="js-cena">
    <w:name w:val="js-cena"/>
    <w:basedOn w:val="Domylnaczcionkaakapitu3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StopkaZnak">
    <w:name w:val="Stopka Znak"/>
    <w:basedOn w:val="Domylnaczcionkaakapitu"/>
    <w:link w:val="Stopka"/>
    <w:uiPriority w:val="99"/>
    <w:qFormat/>
    <w:rsid w:val="00056EE3"/>
    <w:rPr>
      <w:rFonts w:cs="Mangal"/>
      <w:szCs w:val="21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Standard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2">
    <w:name w:val="Nagłówek2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Standard"/>
    <w:qFormat/>
    <w:pPr>
      <w:widowControl/>
      <w:spacing w:before="280" w:after="119"/>
    </w:pPr>
    <w:rPr>
      <w:rFonts w:eastAsia="Times New Roman"/>
    </w:rPr>
  </w:style>
  <w:style w:type="paragraph" w:styleId="HTML-wstpniesformatowany">
    <w:name w:val="HTML Preformatted"/>
    <w:basedOn w:val="Standard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Zawartotabeliuser">
    <w:name w:val="Zawartość tabeli (user)"/>
    <w:basedOn w:val="Standard"/>
    <w:qFormat/>
    <w:pPr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Standard1">
    <w:name w:val="Standard1"/>
    <w:qFormat/>
    <w:pPr>
      <w:widowControl w:val="0"/>
      <w:textAlignment w:val="baseline"/>
    </w:pPr>
    <w:rPr>
      <w:rFonts w:ascii="Times New Roman" w:eastAsia="Lucida Sans Unicode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56EE3"/>
    <w:pPr>
      <w:tabs>
        <w:tab w:val="center" w:pos="4536"/>
        <w:tab w:val="right" w:pos="9072"/>
      </w:tabs>
    </w:pPr>
    <w:rPr>
      <w:rFonts w:cs="Mangal"/>
      <w:szCs w:val="21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high_end_gpu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high_end_gpus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C95D7-670B-44C8-AB0B-9CE3D921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1848</Words>
  <Characters>11092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11</vt:lpstr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11</dc:title>
  <dc:subject/>
  <dc:creator>POLICJA</dc:creator>
  <dc:description/>
  <cp:lastModifiedBy>Krzysztof Kliman</cp:lastModifiedBy>
  <cp:revision>4</cp:revision>
  <cp:lastPrinted>2017-10-13T09:18:00Z</cp:lastPrinted>
  <dcterms:created xsi:type="dcterms:W3CDTF">2025-04-25T06:21:00Z</dcterms:created>
  <dcterms:modified xsi:type="dcterms:W3CDTF">2025-04-28T11:25:00Z</dcterms:modified>
  <dc:language>pl-PL</dc:language>
</cp:coreProperties>
</file>